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2D1F3B">
        <w:rPr>
          <w:rFonts w:ascii="Times New Roman" w:hAnsi="Times New Roman"/>
          <w:b/>
          <w:color w:val="548DD4"/>
          <w:sz w:val="36"/>
          <w:szCs w:val="36"/>
        </w:rPr>
        <w:t xml:space="preserve">БЮДЖЕТ </w:t>
      </w: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2D1F3B">
        <w:rPr>
          <w:rFonts w:ascii="Times New Roman" w:hAnsi="Times New Roman"/>
          <w:b/>
          <w:color w:val="548DD4"/>
          <w:sz w:val="36"/>
          <w:szCs w:val="36"/>
        </w:rPr>
        <w:t>ДЛЯ ГРАЖДАН</w:t>
      </w: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2E74B5"/>
          <w:sz w:val="36"/>
          <w:szCs w:val="36"/>
        </w:rPr>
      </w:pPr>
      <w:r w:rsidRPr="002D1F3B">
        <w:rPr>
          <w:rFonts w:ascii="Times New Roman" w:hAnsi="Times New Roman"/>
          <w:b/>
          <w:color w:val="2E74B5"/>
          <w:sz w:val="36"/>
          <w:szCs w:val="36"/>
        </w:rPr>
        <w:t>по исполнению бюджета за 2022 год</w:t>
      </w:r>
    </w:p>
    <w:p w:rsidR="006D7B0D" w:rsidRPr="002D1F3B" w:rsidRDefault="006D7B0D" w:rsidP="002D1F3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2D1F3B">
        <w:rPr>
          <w:rFonts w:ascii="Times New Roman" w:hAnsi="Times New Roman"/>
          <w:b/>
          <w:color w:val="C00000"/>
          <w:sz w:val="36"/>
          <w:szCs w:val="36"/>
        </w:rPr>
        <w:t xml:space="preserve">к Решению Собрания депутатов Усланского сельсовета Обоянского района Курской области №38/115 от 18.04.2022 г. «Об утверждении годового отчета об исполнении бюджета Усланского сельсовета Обоянского района Курской области за 2022 год </w:t>
      </w: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6D7B0D" w:rsidRPr="002D1F3B" w:rsidRDefault="006D7B0D" w:rsidP="002D1F3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548DD4"/>
          <w:sz w:val="36"/>
          <w:szCs w:val="36"/>
        </w:rPr>
      </w:pPr>
      <w:r w:rsidRPr="002D1F3B">
        <w:rPr>
          <w:rFonts w:ascii="Times New Roman" w:hAnsi="Times New Roman"/>
          <w:b/>
          <w:color w:val="548DD4"/>
          <w:sz w:val="36"/>
          <w:szCs w:val="36"/>
        </w:rPr>
        <w:t>Что такое бюджет для граждан?</w:t>
      </w:r>
    </w:p>
    <w:p w:rsidR="006D7B0D" w:rsidRPr="002D1F3B" w:rsidRDefault="006D7B0D" w:rsidP="006D7B0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6D7B0D" w:rsidRPr="002D1F3B" w:rsidRDefault="006D7B0D" w:rsidP="002D1F3B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b/>
          <w:color w:val="632423"/>
          <w:sz w:val="36"/>
          <w:szCs w:val="36"/>
        </w:rPr>
        <w:t xml:space="preserve">Бюджет для граждан – </w:t>
      </w:r>
      <w:r w:rsidRPr="002D1F3B">
        <w:rPr>
          <w:rFonts w:ascii="Times New Roman" w:hAnsi="Times New Roman"/>
          <w:color w:val="632423"/>
          <w:sz w:val="36"/>
          <w:szCs w:val="36"/>
        </w:rPr>
        <w:t>это документ, представленный в максимально простой, наглядной и понятной форме для граждан Российской Федерации. В нём содержится информация о финансовых планах, в виде, доступном для большинства заинтересованных пользователей.</w:t>
      </w:r>
    </w:p>
    <w:p w:rsidR="006D7B0D" w:rsidRPr="002D1F3B" w:rsidRDefault="006D7B0D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Что такое бюджет?</w:t>
      </w:r>
    </w:p>
    <w:p w:rsidR="006D7B0D" w:rsidRPr="002D1F3B" w:rsidRDefault="006D7B0D" w:rsidP="006D7B0D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lastRenderedPageBreak/>
        <w:t xml:space="preserve">Бюджет – это документ, в котором указываются образования и расходования денежных средств, необходимых для выполнения задач и функций государства и местного самоуправления. </w:t>
      </w:r>
    </w:p>
    <w:p w:rsidR="006D7B0D" w:rsidRPr="002D1F3B" w:rsidRDefault="006D7B0D" w:rsidP="006D7B0D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Бюджет Усланского сельсовета Обоянского района составляется на три года – наступающий финансовый год и плановый период (два последующих года).</w: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Составление проекта бюджета Усланского сельсовета основывается на следующих документах:</w: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Бюджетном послании Президента Российской Федерации.</w:t>
      </w:r>
    </w:p>
    <w:p w:rsidR="006D7B0D" w:rsidRPr="002D1F3B" w:rsidRDefault="006D7B0D" w:rsidP="006D7B0D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Прогнозе социально-экономического развития Усланского сельсовета Обоянского района Курской области.</w:t>
      </w:r>
    </w:p>
    <w:p w:rsidR="006D7B0D" w:rsidRPr="002D1F3B" w:rsidRDefault="006D7B0D" w:rsidP="006D7B0D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Основных направлениях бюджетной и налоговой политики Усланского сельсовета Обоянского района Курской области.</w:t>
      </w:r>
    </w:p>
    <w:p w:rsidR="006D7B0D" w:rsidRPr="002D1F3B" w:rsidRDefault="006D7B0D" w:rsidP="006D7B0D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Муниципальных программах Усланского сельсовета Обоянского района Курской области.</w:t>
      </w:r>
    </w:p>
    <w:p w:rsidR="006D7B0D" w:rsidRPr="002D1F3B" w:rsidRDefault="006D7B0D" w:rsidP="006D7B0D">
      <w:pPr>
        <w:tabs>
          <w:tab w:val="left" w:pos="993"/>
        </w:tabs>
        <w:spacing w:after="0"/>
        <w:ind w:left="426"/>
        <w:jc w:val="both"/>
        <w:rPr>
          <w:rFonts w:ascii="Times New Roman" w:hAnsi="Times New Roman"/>
          <w:color w:val="632423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lastRenderedPageBreak/>
        <w:t>Основные характеристики бюджета</w: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sz w:val="36"/>
          <w:szCs w:val="36"/>
        </w:rPr>
        <w:tab/>
      </w:r>
      <w:r w:rsidRPr="002D1F3B">
        <w:rPr>
          <w:rFonts w:ascii="Times New Roman" w:hAnsi="Times New Roman"/>
          <w:sz w:val="36"/>
          <w:szCs w:val="36"/>
        </w:rPr>
        <w:tab/>
      </w:r>
      <w:r w:rsidRPr="002D1F3B">
        <w:rPr>
          <w:rFonts w:ascii="Times New Roman" w:hAnsi="Times New Roman"/>
          <w:color w:val="632423"/>
          <w:sz w:val="36"/>
          <w:szCs w:val="36"/>
        </w:rPr>
        <w:t xml:space="preserve">Доходы – Расходы = Дефицит или </w:t>
      </w:r>
      <w:proofErr w:type="spellStart"/>
      <w:r w:rsidRPr="002D1F3B">
        <w:rPr>
          <w:rFonts w:ascii="Times New Roman" w:hAnsi="Times New Roman"/>
          <w:color w:val="632423"/>
          <w:sz w:val="36"/>
          <w:szCs w:val="36"/>
        </w:rPr>
        <w:t>Профицит</w:t>
      </w:r>
      <w:proofErr w:type="spellEnd"/>
    </w:p>
    <w:p w:rsidR="006D7B0D" w:rsidRPr="002D1F3B" w:rsidRDefault="006D7B0D" w:rsidP="006D7B0D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Дефицитом называют превышение расходов над доходами</w:t>
      </w:r>
    </w:p>
    <w:p w:rsidR="006D7B0D" w:rsidRPr="002D1F3B" w:rsidRDefault="006D7B0D" w:rsidP="002D1F3B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(изыскиваются источники покрытия дефицита – используются остатки или кредиты)</w:t>
      </w:r>
    </w:p>
    <w:p w:rsidR="002D1F3B" w:rsidRPr="002D1F3B" w:rsidRDefault="006D7B0D" w:rsidP="002D1F3B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36"/>
          <w:szCs w:val="36"/>
        </w:rPr>
      </w:pPr>
      <w:proofErr w:type="spellStart"/>
      <w:r w:rsidRPr="002D1F3B">
        <w:rPr>
          <w:rFonts w:ascii="Times New Roman" w:hAnsi="Times New Roman"/>
          <w:color w:val="632423"/>
          <w:sz w:val="36"/>
          <w:szCs w:val="36"/>
        </w:rPr>
        <w:t>Профицитом</w:t>
      </w:r>
      <w:proofErr w:type="spellEnd"/>
      <w:r w:rsidRPr="002D1F3B">
        <w:rPr>
          <w:rFonts w:ascii="Times New Roman" w:hAnsi="Times New Roman"/>
          <w:color w:val="632423"/>
          <w:sz w:val="36"/>
          <w:szCs w:val="36"/>
        </w:rPr>
        <w:t xml:space="preserve"> называют превышение доходов над расходами (доходы используются для накапливания резервов или погашения долгов)</w:t>
      </w:r>
    </w:p>
    <w:p w:rsidR="006D7B0D" w:rsidRPr="002D1F3B" w:rsidRDefault="006D7B0D" w:rsidP="002D1F3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Основные характеристики исполнения бюджета Усланского сельсовета за 2021 год .</w:t>
      </w:r>
    </w:p>
    <w:p w:rsidR="006D7B0D" w:rsidRPr="002D1F3B" w:rsidRDefault="006D7B0D" w:rsidP="006D7B0D">
      <w:pPr>
        <w:spacing w:after="0" w:line="360" w:lineRule="auto"/>
        <w:jc w:val="right"/>
        <w:rPr>
          <w:rFonts w:ascii="Times New Roman" w:hAnsi="Times New Roman"/>
          <w:sz w:val="36"/>
          <w:szCs w:val="36"/>
        </w:rPr>
      </w:pPr>
      <w:r w:rsidRPr="002D1F3B">
        <w:rPr>
          <w:rFonts w:ascii="Times New Roman" w:hAnsi="Times New Roman"/>
          <w:sz w:val="36"/>
          <w:szCs w:val="36"/>
        </w:rPr>
        <w:t xml:space="preserve"> Руб.</w:t>
      </w:r>
      <w:r w:rsidRPr="002D1F3B">
        <w:rPr>
          <w:rFonts w:ascii="Times New Roman" w:hAnsi="Times New Roman"/>
          <w:sz w:val="36"/>
          <w:szCs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3838"/>
        <w:gridCol w:w="7012"/>
      </w:tblGrid>
      <w:tr w:rsidR="006D7B0D" w:rsidRPr="002D1F3B" w:rsidTr="006D7B0D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202</w:t>
            </w:r>
            <w:r w:rsidRPr="002D1F3B">
              <w:rPr>
                <w:rFonts w:ascii="Times New Roman" w:hAnsi="Times New Roman"/>
                <w:sz w:val="36"/>
                <w:szCs w:val="36"/>
                <w:lang w:val="en-US"/>
              </w:rPr>
              <w:t>2</w:t>
            </w:r>
            <w:r w:rsidRPr="002D1F3B">
              <w:rPr>
                <w:rFonts w:ascii="Times New Roman" w:hAnsi="Times New Roman"/>
                <w:sz w:val="36"/>
                <w:szCs w:val="36"/>
              </w:rPr>
              <w:t xml:space="preserve"> г.</w:t>
            </w:r>
          </w:p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(План)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202</w:t>
            </w:r>
            <w:r w:rsidRPr="002D1F3B">
              <w:rPr>
                <w:rFonts w:ascii="Times New Roman" w:hAnsi="Times New Roman"/>
                <w:sz w:val="36"/>
                <w:szCs w:val="36"/>
                <w:lang w:val="en-US"/>
              </w:rPr>
              <w:t>2</w:t>
            </w:r>
            <w:r w:rsidRPr="002D1F3B">
              <w:rPr>
                <w:rFonts w:ascii="Times New Roman" w:hAnsi="Times New Roman"/>
                <w:sz w:val="36"/>
                <w:szCs w:val="36"/>
              </w:rPr>
              <w:t xml:space="preserve"> г</w:t>
            </w:r>
          </w:p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(Факт).</w:t>
            </w:r>
          </w:p>
        </w:tc>
      </w:tr>
      <w:tr w:rsidR="006D7B0D" w:rsidRPr="002D1F3B" w:rsidTr="006D7B0D">
        <w:trPr>
          <w:trHeight w:val="1533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Доходы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 xml:space="preserve">   </w:t>
            </w:r>
            <w:r w:rsidRPr="002D1F3B">
              <w:rPr>
                <w:rFonts w:ascii="Times New Roman" w:hAnsi="Times New Roman"/>
                <w:sz w:val="36"/>
                <w:szCs w:val="36"/>
                <w:lang w:val="en-US"/>
              </w:rPr>
              <w:t>7</w:t>
            </w:r>
            <w:r w:rsidRPr="002D1F3B">
              <w:rPr>
                <w:rFonts w:ascii="Times New Roman" w:hAnsi="Times New Roman"/>
                <w:sz w:val="36"/>
                <w:szCs w:val="36"/>
              </w:rPr>
              <w:t> </w:t>
            </w:r>
            <w:r w:rsidRPr="002D1F3B">
              <w:rPr>
                <w:rFonts w:ascii="Times New Roman" w:hAnsi="Times New Roman"/>
                <w:sz w:val="36"/>
                <w:szCs w:val="36"/>
                <w:lang w:val="en-US"/>
              </w:rPr>
              <w:t>353 534</w:t>
            </w:r>
            <w:r w:rsidRPr="002D1F3B">
              <w:rPr>
                <w:rFonts w:ascii="Times New Roman" w:hAnsi="Times New Roman"/>
                <w:sz w:val="36"/>
                <w:szCs w:val="36"/>
              </w:rPr>
              <w:t>,24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7 148 132,29</w:t>
            </w:r>
          </w:p>
        </w:tc>
      </w:tr>
      <w:tr w:rsidR="006D7B0D" w:rsidRPr="002D1F3B" w:rsidTr="006D7B0D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Расходы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8 165 875,29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7 953 503,46</w:t>
            </w:r>
          </w:p>
        </w:tc>
      </w:tr>
      <w:tr w:rsidR="006D7B0D" w:rsidRPr="002D1F3B" w:rsidTr="006D7B0D"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Дефицит/</w:t>
            </w:r>
            <w:proofErr w:type="spellStart"/>
            <w:r w:rsidRPr="002D1F3B">
              <w:rPr>
                <w:rFonts w:ascii="Times New Roman" w:hAnsi="Times New Roman"/>
                <w:sz w:val="36"/>
                <w:szCs w:val="36"/>
              </w:rPr>
              <w:t>профицит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-812 341,05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D7B0D" w:rsidRPr="002D1F3B" w:rsidRDefault="006D7B0D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-805 371,17</w:t>
            </w:r>
          </w:p>
        </w:tc>
      </w:tr>
    </w:tbl>
    <w:p w:rsidR="006D7B0D" w:rsidRPr="002D1F3B" w:rsidRDefault="006D7B0D" w:rsidP="006D7B0D">
      <w:pPr>
        <w:spacing w:after="0" w:line="360" w:lineRule="auto"/>
        <w:jc w:val="both"/>
        <w:rPr>
          <w:rFonts w:ascii="Times New Roman" w:eastAsia="Calibri" w:hAnsi="Times New Roman"/>
          <w:sz w:val="36"/>
          <w:szCs w:val="36"/>
          <w:lang w:eastAsia="en-US"/>
        </w:rPr>
      </w:pPr>
    </w:p>
    <w:p w:rsidR="006D7B0D" w:rsidRPr="002D1F3B" w:rsidRDefault="00A30BCB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D1F3B">
        <w:rPr>
          <w:rFonts w:ascii="Calibri" w:hAnsi="Calibri"/>
          <w:sz w:val="36"/>
          <w:szCs w:val="36"/>
          <w:lang w:eastAsia="en-US"/>
        </w:rPr>
        <w:pict>
          <v:roundrect id="_x0000_s1026" style="position:absolute;left:0;text-align:left;margin-left:303.3pt;margin-top:77.5pt;width:184.35pt;height:195.8pt;z-index:251654656" arcsize="10923f" fillcolor="#ffc000">
            <v:textbox>
              <w:txbxContent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Доходы бюджета</w:t>
                  </w:r>
                </w:p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sz w:val="24"/>
                      <w:szCs w:val="24"/>
                    </w:rPr>
                    <w:t>Безвозмездные и безвозвратные поступления денежных средств в бюджет</w:t>
                  </w:r>
                </w:p>
              </w:txbxContent>
            </v:textbox>
          </v:roundrect>
        </w:pict>
      </w:r>
      <w:r w:rsidRPr="002D1F3B">
        <w:rPr>
          <w:rFonts w:ascii="Calibri" w:hAnsi="Calibri"/>
          <w:sz w:val="36"/>
          <w:szCs w:val="36"/>
          <w:lang w:eastAsia="en-US"/>
        </w:rPr>
        <w:pict>
          <v:roundrect id="_x0000_s1027" style="position:absolute;left:0;text-align:left;margin-left:24.05pt;margin-top:17.35pt;width:196.5pt;height:270.25pt;z-index:251655680" arcsize="10923f" fillcolor="#b8cce4">
            <v:textbox>
              <w:txbxContent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Налоговые доходы</w:t>
                  </w:r>
                </w:p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sz w:val="24"/>
                      <w:szCs w:val="24"/>
                    </w:rPr>
                    <w:t>(Поступление в районный бюджет различных налогов, например: госпошлина, налог на доходы с физических лиц единый налог на совокупный доход и т. д.)</w:t>
                  </w:r>
                </w:p>
              </w:txbxContent>
            </v:textbox>
          </v:roundrect>
        </w:pict>
      </w:r>
      <w:r w:rsidRPr="002D1F3B">
        <w:rPr>
          <w:rFonts w:ascii="Calibri" w:hAnsi="Calibri"/>
          <w:sz w:val="36"/>
          <w:szCs w:val="36"/>
          <w:lang w:eastAsia="en-US"/>
        </w:rPr>
        <w:pict>
          <v:roundrect id="_x0000_s1029" style="position:absolute;left:0;text-align:left;margin-left:556.3pt;margin-top:17.35pt;width:196.5pt;height:279.25pt;z-index:251657728" arcsize="10923f" fillcolor="#b8cce4">
            <v:textbox>
              <w:txbxContent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Неналоговые доходы</w:t>
                  </w:r>
                </w:p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sz w:val="24"/>
                      <w:szCs w:val="24"/>
                    </w:rPr>
                    <w:t>(Поступление в бюджет доходов от использования муниципального имущества, сборов, а также штрафов за нарушение законодательств РФ)</w:t>
                  </w:r>
                </w:p>
              </w:txbxContent>
            </v:textbox>
          </v:roundrect>
        </w:pict>
      </w:r>
      <w:r w:rsidRPr="002D1F3B">
        <w:rPr>
          <w:rFonts w:ascii="Calibri" w:hAnsi="Calibri"/>
          <w:sz w:val="36"/>
          <w:szCs w:val="3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0.55pt;margin-top:103.1pt;width:82.75pt;height:79.4pt;z-index:251658752" o:connectortype="straight">
            <v:stroke endarrow="block"/>
          </v:shape>
        </w:pict>
      </w:r>
      <w:r w:rsidRPr="002D1F3B">
        <w:rPr>
          <w:rFonts w:ascii="Calibri" w:hAnsi="Calibri"/>
          <w:sz w:val="36"/>
          <w:szCs w:val="36"/>
          <w:lang w:eastAsia="en-US"/>
        </w:rPr>
        <w:pict>
          <v:shape id="_x0000_s1031" type="#_x0000_t32" style="position:absolute;left:0;text-align:left;margin-left:487.65pt;margin-top:99.05pt;width:68.65pt;height:76.7pt;flip:x;z-index:251659776" o:connectortype="straight">
            <v:stroke endarrow="block"/>
          </v:shape>
        </w:pict>
      </w:r>
      <w:r w:rsidRPr="002D1F3B">
        <w:rPr>
          <w:rFonts w:ascii="Calibri" w:hAnsi="Calibri"/>
          <w:sz w:val="36"/>
          <w:szCs w:val="36"/>
          <w:lang w:eastAsia="en-US"/>
        </w:rPr>
        <w:pict>
          <v:shape id="_x0000_s1032" type="#_x0000_t32" style="position:absolute;left:0;text-align:left;margin-left:397.5pt;margin-top:273.15pt;width:.7pt;height:48.85pt;flip:x y;z-index:251660800" o:connectortype="straight">
            <v:stroke endarrow="block"/>
          </v:shape>
        </w:pic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2D1F3B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D1F3B">
        <w:rPr>
          <w:rFonts w:ascii="Calibri" w:hAnsi="Calibri"/>
          <w:sz w:val="36"/>
          <w:szCs w:val="36"/>
          <w:lang w:eastAsia="en-US"/>
        </w:rPr>
        <w:pict>
          <v:roundrect id="_x0000_s1028" style="position:absolute;left:0;text-align:left;margin-left:234pt;margin-top:25.25pt;width:335.45pt;height:203.3pt;z-index:251656704" arcsize="10923f" fillcolor="#d6e3bc">
            <v:textbox>
              <w:txbxContent>
                <w:p w:rsidR="006D7B0D" w:rsidRPr="002D1F3B" w:rsidRDefault="006D7B0D" w:rsidP="006D7B0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D1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  <w:p w:rsidR="006D7B0D" w:rsidRDefault="006D7B0D" w:rsidP="006D7B0D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2D1F3B">
                    <w:rPr>
                      <w:rFonts w:ascii="Times New Roman" w:hAnsi="Times New Roman"/>
                      <w:sz w:val="24"/>
                      <w:szCs w:val="24"/>
                    </w:rPr>
                    <w:t>(Поступление в бюджет на безвозмездной основе из областного и федерального бюджетов в виде дотаций, субсидий и субвенций, а также перечисления от физических и юридических лиц (кроме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налоговых неналоговых доходов))</w:t>
                  </w:r>
                </w:p>
              </w:txbxContent>
            </v:textbox>
          </v:roundrect>
        </w:pic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2D1F3B" w:rsidRDefault="002D1F3B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2D1F3B" w:rsidRDefault="002D1F3B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2D1F3B" w:rsidRDefault="002D1F3B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lastRenderedPageBreak/>
        <w:t>Безвозмездные поступления состоят:</w:t>
      </w:r>
    </w:p>
    <w:p w:rsidR="006D7B0D" w:rsidRPr="002D1F3B" w:rsidRDefault="006D7B0D" w:rsidP="006D7B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Дотация – денежные средства, которые предоставляются без определения конкретной цели их использования.</w:t>
      </w:r>
    </w:p>
    <w:p w:rsidR="006D7B0D" w:rsidRPr="002D1F3B" w:rsidRDefault="006D7B0D" w:rsidP="006D7B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>Субвенция – денежные средства, предназначенные для строго определенных видов расходов.</w:t>
      </w:r>
    </w:p>
    <w:p w:rsidR="006D7B0D" w:rsidRPr="002D1F3B" w:rsidRDefault="006D7B0D" w:rsidP="006D7B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36"/>
          <w:szCs w:val="36"/>
        </w:rPr>
      </w:pPr>
      <w:r w:rsidRPr="002D1F3B">
        <w:rPr>
          <w:rFonts w:ascii="Times New Roman" w:hAnsi="Times New Roman"/>
          <w:color w:val="632423"/>
          <w:sz w:val="36"/>
          <w:szCs w:val="36"/>
        </w:rPr>
        <w:t xml:space="preserve">Субсидии – денежные средства, используемые для долевого </w:t>
      </w:r>
      <w:proofErr w:type="spellStart"/>
      <w:r w:rsidRPr="002D1F3B">
        <w:rPr>
          <w:rFonts w:ascii="Times New Roman" w:hAnsi="Times New Roman"/>
          <w:color w:val="632423"/>
          <w:sz w:val="36"/>
          <w:szCs w:val="36"/>
        </w:rPr>
        <w:t>софинансирования</w:t>
      </w:r>
      <w:proofErr w:type="spellEnd"/>
      <w:r w:rsidRPr="002D1F3B">
        <w:rPr>
          <w:rFonts w:ascii="Times New Roman" w:hAnsi="Times New Roman"/>
          <w:color w:val="632423"/>
          <w:sz w:val="36"/>
          <w:szCs w:val="36"/>
        </w:rPr>
        <w:t xml:space="preserve"> расходов других бюджетов.</w: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2D1F3B" w:rsidRDefault="002D1F3B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2D1F3B" w:rsidRPr="002D1F3B" w:rsidRDefault="002D1F3B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Изменение структуры доходов местного бюджета за 2022 г. в рублях</w:t>
      </w: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noProof/>
          <w:sz w:val="36"/>
          <w:szCs w:val="36"/>
        </w:rPr>
      </w:pPr>
    </w:p>
    <w:p w:rsidR="006D7B0D" w:rsidRPr="002D1F3B" w:rsidRDefault="006D7B0D" w:rsidP="006D7B0D">
      <w:pPr>
        <w:spacing w:after="0" w:line="36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2D1F3B">
        <w:rPr>
          <w:rFonts w:ascii="Times New Roman" w:eastAsia="Calibri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8496300" cy="35242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7B0D" w:rsidRPr="002D1F3B" w:rsidRDefault="006D7B0D" w:rsidP="006D7B0D">
      <w:pPr>
        <w:tabs>
          <w:tab w:val="left" w:pos="3540"/>
        </w:tabs>
        <w:spacing w:after="0" w:line="360" w:lineRule="auto"/>
        <w:jc w:val="both"/>
        <w:rPr>
          <w:rFonts w:ascii="Times New Roman" w:hAnsi="Times New Roman"/>
          <w:noProof/>
          <w:sz w:val="36"/>
          <w:szCs w:val="36"/>
        </w:rPr>
      </w:pPr>
      <w:r w:rsidRPr="002D1F3B">
        <w:rPr>
          <w:rFonts w:ascii="Times New Roman" w:hAnsi="Times New Roman"/>
          <w:noProof/>
          <w:sz w:val="36"/>
          <w:szCs w:val="36"/>
        </w:rPr>
        <w:tab/>
      </w:r>
    </w:p>
    <w:p w:rsidR="006D7B0D" w:rsidRPr="002D1F3B" w:rsidRDefault="006D7B0D" w:rsidP="006D7B0D">
      <w:pPr>
        <w:rPr>
          <w:rFonts w:ascii="Times New Roman" w:hAnsi="Times New Roman"/>
          <w:sz w:val="36"/>
          <w:szCs w:val="36"/>
          <w:lang w:eastAsia="en-US"/>
        </w:rPr>
      </w:pPr>
    </w:p>
    <w:p w:rsidR="006D7B0D" w:rsidRPr="002D1F3B" w:rsidRDefault="006D7B0D" w:rsidP="006D7B0D">
      <w:pPr>
        <w:spacing w:after="0" w:line="36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eastAsia="Calibri" w:hAnsi="Times New Roman" w:cs="Times New Roman"/>
          <w:b/>
          <w:noProof/>
          <w:color w:val="0070C0"/>
          <w:sz w:val="36"/>
          <w:szCs w:val="36"/>
        </w:rPr>
        <w:lastRenderedPageBreak/>
        <w:drawing>
          <wp:inline distT="0" distB="0" distL="0" distR="0">
            <wp:extent cx="10487025" cy="47625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1F3B" w:rsidRDefault="006D7B0D" w:rsidP="006D7B0D">
      <w:pPr>
        <w:tabs>
          <w:tab w:val="center" w:pos="7568"/>
          <w:tab w:val="left" w:pos="12495"/>
        </w:tabs>
        <w:spacing w:after="0" w:line="36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ab/>
      </w:r>
    </w:p>
    <w:p w:rsidR="002D1F3B" w:rsidRDefault="002D1F3B" w:rsidP="006D7B0D">
      <w:pPr>
        <w:tabs>
          <w:tab w:val="center" w:pos="7568"/>
          <w:tab w:val="left" w:pos="12495"/>
        </w:tabs>
        <w:spacing w:after="0" w:line="36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6D7B0D" w:rsidRPr="002D1F3B" w:rsidRDefault="006D7B0D" w:rsidP="006D7B0D">
      <w:pPr>
        <w:tabs>
          <w:tab w:val="center" w:pos="7568"/>
          <w:tab w:val="left" w:pos="12495"/>
        </w:tabs>
        <w:spacing w:after="0" w:line="36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lastRenderedPageBreak/>
        <w:t>Безвозмездные поступления из областного бюджета</w:t>
      </w:r>
    </w:p>
    <w:p w:rsidR="006D7B0D" w:rsidRPr="002D1F3B" w:rsidRDefault="006D7B0D" w:rsidP="006D7B0D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в тыс. рублей</w:t>
      </w:r>
      <w:r w:rsidRPr="002D1F3B">
        <w:rPr>
          <w:rFonts w:ascii="Times New Roman" w:hAnsi="Times New Roman"/>
          <w:b/>
          <w:sz w:val="36"/>
          <w:szCs w:val="36"/>
        </w:rPr>
        <w:tab/>
      </w:r>
    </w:p>
    <w:p w:rsidR="006D7B0D" w:rsidRPr="002D1F3B" w:rsidRDefault="006D7B0D" w:rsidP="006D7B0D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2D1F3B">
        <w:rPr>
          <w:rFonts w:ascii="Times New Roman" w:eastAsia="Calibri" w:hAnsi="Times New Roman" w:cs="Times New Roman"/>
          <w:b/>
          <w:noProof/>
          <w:sz w:val="36"/>
          <w:szCs w:val="36"/>
        </w:rPr>
        <w:drawing>
          <wp:inline distT="0" distB="0" distL="0" distR="0">
            <wp:extent cx="9505950" cy="48006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7B0D" w:rsidRPr="002D1F3B" w:rsidRDefault="006D7B0D" w:rsidP="006D7B0D">
      <w:pPr>
        <w:spacing w:after="0" w:line="312" w:lineRule="auto"/>
        <w:rPr>
          <w:rFonts w:ascii="Times New Roman" w:hAnsi="Times New Roman"/>
          <w:b/>
          <w:sz w:val="36"/>
          <w:szCs w:val="36"/>
        </w:rPr>
      </w:pPr>
      <w:r w:rsidRPr="002D1F3B">
        <w:rPr>
          <w:rFonts w:ascii="Times New Roman" w:hAnsi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9563100" cy="6276975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110" t="24922" r="12027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0D" w:rsidRPr="002D1F3B" w:rsidRDefault="006D7B0D" w:rsidP="006D7B0D">
      <w:pPr>
        <w:spacing w:after="0" w:line="312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lastRenderedPageBreak/>
        <w:t xml:space="preserve">Структура расходов бюджета </w:t>
      </w:r>
    </w:p>
    <w:p w:rsidR="006D7B0D" w:rsidRPr="002D1F3B" w:rsidRDefault="006D7B0D" w:rsidP="006D7B0D">
      <w:pPr>
        <w:spacing w:after="0" w:line="312" w:lineRule="auto"/>
        <w:jc w:val="center"/>
        <w:rPr>
          <w:rFonts w:ascii="Times New Roman" w:hAnsi="Times New Roman"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Усланского сельсовета Обоянского района Курской области</w:t>
      </w:r>
    </w:p>
    <w:p w:rsidR="006D7B0D" w:rsidRPr="002D1F3B" w:rsidRDefault="006D7B0D" w:rsidP="006D7B0D">
      <w:pPr>
        <w:spacing w:after="0" w:line="288" w:lineRule="auto"/>
        <w:jc w:val="right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t>тыс. рублей</w:t>
      </w:r>
      <w:r w:rsidRPr="002D1F3B">
        <w:rPr>
          <w:rFonts w:ascii="Times New Roman" w:hAnsi="Times New Roman"/>
          <w:b/>
          <w:color w:val="0070C0"/>
          <w:sz w:val="36"/>
          <w:szCs w:val="36"/>
        </w:rPr>
        <w:tab/>
      </w:r>
      <w:r w:rsidRPr="002D1F3B">
        <w:rPr>
          <w:rFonts w:ascii="Times New Roman" w:hAnsi="Times New Roman"/>
          <w:b/>
          <w:color w:val="0070C0"/>
          <w:sz w:val="36"/>
          <w:szCs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1"/>
        <w:gridCol w:w="7633"/>
        <w:gridCol w:w="5502"/>
      </w:tblGrid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Раздел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auto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 xml:space="preserve"> 2022год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Всего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7 953,5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Общегосударственные 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4700,00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Национальная оборона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98,0</w:t>
            </w:r>
          </w:p>
        </w:tc>
      </w:tr>
      <w:tr w:rsidR="006D7B0D" w:rsidRPr="002D1F3B" w:rsidTr="006D7B0D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6D7B0D" w:rsidRPr="002D1F3B" w:rsidTr="006D7B0D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0,8</w:t>
            </w:r>
          </w:p>
        </w:tc>
      </w:tr>
      <w:tr w:rsidR="006D7B0D" w:rsidRPr="002D1F3B" w:rsidTr="006D7B0D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115,5</w:t>
            </w:r>
          </w:p>
        </w:tc>
      </w:tr>
      <w:tr w:rsidR="006D7B0D" w:rsidRPr="002D1F3B" w:rsidTr="006D7B0D">
        <w:trPr>
          <w:trHeight w:val="6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Молодежная политика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Культура, кинематография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2 799,1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tabs>
                <w:tab w:val="left" w:pos="1725"/>
              </w:tabs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240,1</w:t>
            </w:r>
          </w:p>
        </w:tc>
      </w:tr>
      <w:tr w:rsidR="006D7B0D" w:rsidRPr="002D1F3B" w:rsidTr="006D7B0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tabs>
                <w:tab w:val="left" w:pos="1725"/>
              </w:tabs>
              <w:spacing w:after="0" w:line="288" w:lineRule="auto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6D7B0D" w:rsidRPr="002D1F3B" w:rsidRDefault="006D7B0D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36"/>
                <w:szCs w:val="36"/>
                <w:lang w:eastAsia="en-US"/>
              </w:rPr>
            </w:pPr>
            <w:r w:rsidRPr="002D1F3B"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</w:tbl>
    <w:p w:rsidR="006D7B0D" w:rsidRPr="002D1F3B" w:rsidRDefault="006D7B0D" w:rsidP="006D7B0D">
      <w:pPr>
        <w:spacing w:after="0" w:line="360" w:lineRule="auto"/>
        <w:rPr>
          <w:rFonts w:ascii="Times New Roman" w:eastAsia="Calibri" w:hAnsi="Times New Roman"/>
          <w:sz w:val="36"/>
          <w:szCs w:val="36"/>
          <w:lang w:eastAsia="en-US"/>
        </w:rPr>
      </w:pPr>
    </w:p>
    <w:p w:rsidR="006D7B0D" w:rsidRPr="002D1F3B" w:rsidRDefault="006D7B0D" w:rsidP="006D7B0D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2D1F3B">
        <w:rPr>
          <w:rFonts w:ascii="Times New Roman" w:hAnsi="Times New Roman"/>
          <w:b/>
          <w:color w:val="0070C0"/>
          <w:sz w:val="36"/>
          <w:szCs w:val="36"/>
        </w:rPr>
        <w:lastRenderedPageBreak/>
        <w:t>Расходы бюджета Усланского сельсовета за 2022 год</w:t>
      </w:r>
    </w:p>
    <w:p w:rsidR="006D7B0D" w:rsidRPr="002D1F3B" w:rsidRDefault="006D7B0D" w:rsidP="002D1F3B">
      <w:pPr>
        <w:spacing w:after="0" w:line="360" w:lineRule="auto"/>
        <w:jc w:val="both"/>
        <w:rPr>
          <w:rFonts w:ascii="Times New Roman" w:hAnsi="Times New Roman"/>
          <w:sz w:val="36"/>
          <w:szCs w:val="36"/>
        </w:rPr>
      </w:pPr>
      <w:r w:rsidRPr="002D1F3B">
        <w:rPr>
          <w:rFonts w:ascii="Times New Roman" w:eastAsia="Calibri" w:hAnsi="Times New Roman" w:cs="Times New Roman"/>
          <w:noProof/>
          <w:sz w:val="36"/>
          <w:szCs w:val="36"/>
        </w:rPr>
        <w:drawing>
          <wp:inline distT="0" distB="0" distL="0" distR="0">
            <wp:extent cx="9096375" cy="43815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B0D" w:rsidRPr="002D1F3B" w:rsidRDefault="006D7B0D" w:rsidP="006D7B0D">
      <w:pPr>
        <w:spacing w:after="0" w:line="288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2D1F3B">
        <w:rPr>
          <w:rFonts w:ascii="Times New Roman" w:hAnsi="Times New Roman"/>
          <w:b/>
          <w:color w:val="7030A0"/>
          <w:sz w:val="36"/>
          <w:szCs w:val="36"/>
        </w:rPr>
        <w:t xml:space="preserve">Подготовлено </w:t>
      </w:r>
    </w:p>
    <w:p w:rsidR="006D7B0D" w:rsidRPr="002D1F3B" w:rsidRDefault="006D7B0D" w:rsidP="006D7B0D">
      <w:pPr>
        <w:spacing w:after="0" w:line="288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2D1F3B">
        <w:rPr>
          <w:rFonts w:ascii="Times New Roman" w:hAnsi="Times New Roman"/>
          <w:b/>
          <w:color w:val="7030A0"/>
          <w:sz w:val="36"/>
          <w:szCs w:val="36"/>
        </w:rPr>
        <w:t>Администрацией Усланского сельсовета</w:t>
      </w:r>
    </w:p>
    <w:p w:rsidR="006D7B0D" w:rsidRPr="002D1F3B" w:rsidRDefault="006D7B0D" w:rsidP="006D7B0D">
      <w:pPr>
        <w:spacing w:after="0" w:line="288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2D1F3B">
        <w:rPr>
          <w:rFonts w:ascii="Times New Roman" w:hAnsi="Times New Roman"/>
          <w:b/>
          <w:color w:val="7030A0"/>
          <w:sz w:val="36"/>
          <w:szCs w:val="36"/>
        </w:rPr>
        <w:t>Обоянского района Курской области</w:t>
      </w:r>
    </w:p>
    <w:p w:rsidR="006D7B0D" w:rsidRDefault="006D7B0D" w:rsidP="006D7B0D">
      <w:pPr>
        <w:spacing w:after="0" w:line="288" w:lineRule="auto"/>
        <w:ind w:firstLine="851"/>
        <w:jc w:val="both"/>
        <w:rPr>
          <w:rFonts w:ascii="Times New Roman" w:hAnsi="Times New Roman"/>
          <w:sz w:val="52"/>
          <w:szCs w:val="52"/>
        </w:rPr>
      </w:pPr>
    </w:p>
    <w:p w:rsidR="006D7B0D" w:rsidRDefault="006D7B0D" w:rsidP="006D7B0D">
      <w:pPr>
        <w:rPr>
          <w:rFonts w:ascii="Calibri" w:hAnsi="Calibri"/>
        </w:rPr>
      </w:pPr>
    </w:p>
    <w:p w:rsidR="001F3AAE" w:rsidRDefault="001F3AAE"/>
    <w:sectPr w:rsidR="001F3AAE" w:rsidSect="002D1F3B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1E2"/>
    <w:multiLevelType w:val="hybridMultilevel"/>
    <w:tmpl w:val="3E3A82B0"/>
    <w:lvl w:ilvl="0" w:tplc="410257D0">
      <w:start w:val="1"/>
      <w:numFmt w:val="decimal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D3FB5"/>
    <w:multiLevelType w:val="hybridMultilevel"/>
    <w:tmpl w:val="3F2CDE58"/>
    <w:lvl w:ilvl="0" w:tplc="D55CD21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7B0D"/>
    <w:rsid w:val="001F3AAE"/>
    <w:rsid w:val="002B2FAC"/>
    <w:rsid w:val="002D1F3B"/>
    <w:rsid w:val="006D7B0D"/>
    <w:rsid w:val="008C757F"/>
    <w:rsid w:val="00A0409A"/>
    <w:rsid w:val="00A30BCB"/>
    <w:rsid w:val="00F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91259931895567"/>
          <c:y val="5.5555555555555483E-2"/>
          <c:w val="0.64131668558456301"/>
          <c:h val="0.802777777777777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Налоги</c:v>
                </c:pt>
              </c:strCache>
            </c:strRef>
          </c:tx>
          <c:spPr>
            <a:solidFill>
              <a:srgbClr val="9999FF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1918392.29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spPr>
            <a:solidFill>
              <a:srgbClr val="993366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572600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4627140</c:v>
                </c:pt>
              </c:numCache>
            </c:numRef>
          </c:val>
        </c:ser>
        <c:gapDepth val="0"/>
        <c:shape val="box"/>
        <c:axId val="100148352"/>
        <c:axId val="100149888"/>
        <c:axId val="0"/>
      </c:bar3DChart>
      <c:catAx>
        <c:axId val="100148352"/>
        <c:scaling>
          <c:orientation val="minMax"/>
        </c:scaling>
        <c:axPos val="b"/>
        <c:numFmt formatCode="General" sourceLinked="1"/>
        <c:tickLblPos val="low"/>
        <c:spPr>
          <a:ln w="30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49888"/>
        <c:crosses val="autoZero"/>
        <c:auto val="1"/>
        <c:lblAlgn val="ctr"/>
        <c:lblOffset val="100"/>
        <c:tickLblSkip val="1"/>
        <c:tickMarkSkip val="1"/>
      </c:catAx>
      <c:valAx>
        <c:axId val="100149888"/>
        <c:scaling>
          <c:orientation val="minMax"/>
        </c:scaling>
        <c:axPos val="l"/>
        <c:majorGridlines>
          <c:spPr>
            <a:ln w="309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9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3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48352"/>
        <c:crosses val="autoZero"/>
        <c:crossBetween val="between"/>
      </c:valAx>
      <c:spPr>
        <a:noFill/>
        <a:ln w="24771">
          <a:noFill/>
        </a:ln>
      </c:spPr>
    </c:plotArea>
    <c:legend>
      <c:legendPos val="r"/>
      <c:layout>
        <c:manualLayout>
          <c:xMode val="edge"/>
          <c:yMode val="edge"/>
          <c:x val="0.77071509648127245"/>
          <c:y val="0.26944444444444476"/>
          <c:w val="0.22474460839954588"/>
          <c:h val="0.46111111111111114"/>
        </c:manualLayout>
      </c:layout>
      <c:spPr>
        <a:noFill/>
        <a:ln w="3096">
          <a:solidFill>
            <a:srgbClr val="000000"/>
          </a:solidFill>
          <a:prstDash val="solid"/>
        </a:ln>
      </c:spPr>
      <c:txPr>
        <a:bodyPr/>
        <a:lstStyle/>
        <a:p>
          <a:pPr>
            <a:defRPr sz="14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3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64596273291926"/>
          <c:y val="1.8367346938775512E-2"/>
          <c:w val="0.29813664596273298"/>
          <c:h val="0.90816326530612246"/>
        </c:manualLayout>
      </c:layout>
      <c:area3D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83949.31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FFFF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258224.66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1537676.52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FFCC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572600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Совокупный доход</c:v>
                </c:pt>
              </c:strCache>
            </c:strRef>
          </c:tx>
          <c:spPr>
            <a:solidFill>
              <a:srgbClr val="FF8080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38541.800000000003</c:v>
                </c:pt>
              </c:numCache>
            </c:numRef>
          </c:val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Доходы от продажи</c:v>
                </c:pt>
              </c:strCache>
            </c:strRef>
          </c:tx>
          <c:spPr>
            <a:solidFill>
              <a:srgbClr val="993366"/>
            </a:solidFill>
            <a:ln w="9909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  <c:pt idx="0">
                  <c:v>30000</c:v>
                </c:pt>
              </c:numCache>
            </c:numRef>
          </c:val>
        </c:ser>
        <c:gapDepth val="0"/>
        <c:axId val="100133888"/>
        <c:axId val="100164352"/>
        <c:axId val="100185856"/>
      </c:area3DChart>
      <c:catAx>
        <c:axId val="100133888"/>
        <c:scaling>
          <c:orientation val="minMax"/>
        </c:scaling>
        <c:axPos val="b"/>
        <c:numFmt formatCode="General" sourceLinked="1"/>
        <c:tickLblPos val="low"/>
        <c:spPr>
          <a:ln w="24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64352"/>
        <c:crosses val="autoZero"/>
        <c:auto val="1"/>
        <c:lblAlgn val="ctr"/>
        <c:lblOffset val="100"/>
        <c:tickLblSkip val="1"/>
        <c:tickMarkSkip val="1"/>
      </c:catAx>
      <c:valAx>
        <c:axId val="100164352"/>
        <c:scaling>
          <c:orientation val="minMax"/>
        </c:scaling>
        <c:axPos val="l"/>
        <c:majorGridlines>
          <c:spPr>
            <a:ln w="24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33888"/>
        <c:crosses val="autoZero"/>
        <c:crossBetween val="midCat"/>
      </c:valAx>
      <c:serAx>
        <c:axId val="100185856"/>
        <c:scaling>
          <c:orientation val="minMax"/>
        </c:scaling>
        <c:axPos val="b"/>
        <c:numFmt formatCode="General" sourceLinked="1"/>
        <c:tickLblPos val="low"/>
        <c:spPr>
          <a:ln w="24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64352"/>
        <c:crosses val="autoZero"/>
        <c:tickLblSkip val="15"/>
        <c:tickMarkSkip val="1"/>
      </c:serAx>
      <c:spPr>
        <a:solidFill>
          <a:srgbClr val="C0C0C0"/>
        </a:solidFill>
        <a:ln w="990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003952503212301"/>
          <c:y val="0.17961910761154853"/>
          <c:w val="0.37996047496787716"/>
          <c:h val="0.67344209973753277"/>
        </c:manualLayout>
      </c:layout>
      <c:spPr>
        <a:noFill/>
        <a:ln w="2477">
          <a:solidFill>
            <a:srgbClr val="000000"/>
          </a:solidFill>
          <a:prstDash val="solid"/>
        </a:ln>
      </c:spPr>
      <c:txPr>
        <a:bodyPr/>
        <a:lstStyle/>
        <a:p>
          <a:pPr>
            <a:defRPr sz="85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062111801242239E-2"/>
          <c:y val="5.4655870445344125E-2"/>
          <c:w val="0.68530020703933769"/>
          <c:h val="0.8097165991902833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4023.9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993366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CC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886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CCFFFF"/>
            </a:solidFill>
            <a:ln w="1238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3642.7</c:v>
                </c:pt>
              </c:numCache>
            </c:numRef>
          </c:val>
        </c:ser>
        <c:gapDepth val="0"/>
        <c:shape val="box"/>
        <c:axId val="115347456"/>
        <c:axId val="115348992"/>
        <c:axId val="0"/>
      </c:bar3DChart>
      <c:catAx>
        <c:axId val="115347456"/>
        <c:scaling>
          <c:orientation val="minMax"/>
        </c:scaling>
        <c:axPos val="b"/>
        <c:numFmt formatCode="General" sourceLinked="1"/>
        <c:tickLblPos val="low"/>
        <c:spPr>
          <a:ln w="3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48992"/>
        <c:crosses val="autoZero"/>
        <c:auto val="1"/>
        <c:lblAlgn val="ctr"/>
        <c:lblOffset val="100"/>
        <c:tickLblSkip val="1"/>
        <c:tickMarkSkip val="1"/>
      </c:catAx>
      <c:valAx>
        <c:axId val="115348992"/>
        <c:scaling>
          <c:orientation val="minMax"/>
        </c:scaling>
        <c:axPos val="l"/>
        <c:majorGridlines>
          <c:spPr>
            <a:ln w="309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47456"/>
        <c:crosses val="autoZero"/>
        <c:crossBetween val="between"/>
      </c:valAx>
      <c:spPr>
        <a:noFill/>
        <a:ln w="24772">
          <a:noFill/>
        </a:ln>
      </c:spPr>
    </c:plotArea>
    <c:legend>
      <c:legendPos val="r"/>
      <c:layout>
        <c:manualLayout>
          <c:xMode val="edge"/>
          <c:yMode val="edge"/>
          <c:x val="0.78674948240165665"/>
          <c:y val="0.33400809716599256"/>
          <c:w val="0.20910973084886145"/>
          <c:h val="0.33400809716599256"/>
        </c:manualLayout>
      </c:layout>
      <c:spPr>
        <a:noFill/>
        <a:ln w="3097">
          <a:solidFill>
            <a:srgbClr val="000000"/>
          </a:solidFill>
          <a:prstDash val="solid"/>
        </a:ln>
      </c:spPr>
      <c:txPr>
        <a:bodyPr/>
        <a:lstStyle/>
        <a:p>
          <a:pPr>
            <a:defRPr sz="19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1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48447204968959"/>
          <c:y val="6.194690265486727E-2"/>
          <c:w val="0.56004140786749546"/>
          <c:h val="0.807079646017699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4700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CCFFFF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0.8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660066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115.5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Культура,кинематография</c:v>
                </c:pt>
              </c:strCache>
            </c:strRef>
          </c:tx>
          <c:spPr>
            <a:solidFill>
              <a:srgbClr val="FF8080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2799.1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0066CC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240.1</c:v>
                </c:pt>
              </c:numCache>
            </c:numRef>
          </c:val>
        </c:ser>
        <c:ser>
          <c:idx val="1"/>
          <c:order val="6"/>
          <c:tx>
            <c:strRef>
              <c:f>Sheet1!$A$8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3366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CCFF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Молодежная политика</c:v>
                </c:pt>
              </c:strCache>
            </c:strRef>
          </c:tx>
          <c:spPr>
            <a:solidFill>
              <a:srgbClr val="000080"/>
            </a:solidFill>
            <a:ln w="9904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gapDepth val="0"/>
        <c:shape val="box"/>
        <c:axId val="115387776"/>
        <c:axId val="115422336"/>
        <c:axId val="0"/>
      </c:bar3DChart>
      <c:catAx>
        <c:axId val="115387776"/>
        <c:scaling>
          <c:orientation val="minMax"/>
        </c:scaling>
        <c:axPos val="b"/>
        <c:numFmt formatCode="General" sourceLinked="1"/>
        <c:tickLblPos val="low"/>
        <c:spPr>
          <a:ln w="24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422336"/>
        <c:crosses val="autoZero"/>
        <c:auto val="1"/>
        <c:lblAlgn val="ctr"/>
        <c:lblOffset val="100"/>
        <c:tickLblSkip val="1"/>
        <c:tickMarkSkip val="1"/>
      </c:catAx>
      <c:valAx>
        <c:axId val="115422336"/>
        <c:scaling>
          <c:orientation val="minMax"/>
        </c:scaling>
        <c:axPos val="l"/>
        <c:majorGridlines>
          <c:spPr>
            <a:ln w="24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4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87776"/>
        <c:crosses val="autoZero"/>
        <c:crossBetween val="between"/>
      </c:valAx>
      <c:spPr>
        <a:noFill/>
        <a:ln w="19809">
          <a:noFill/>
        </a:ln>
      </c:spPr>
    </c:plotArea>
    <c:legend>
      <c:legendPos val="r"/>
      <c:layout>
        <c:manualLayout>
          <c:xMode val="edge"/>
          <c:yMode val="edge"/>
          <c:x val="0.67391304347826153"/>
          <c:y val="0.14336283185840731"/>
          <c:w val="0.3260869565217393"/>
          <c:h val="0.70796460176991149"/>
        </c:manualLayout>
      </c:layout>
      <c:spPr>
        <a:noFill/>
        <a:ln w="2476">
          <a:solidFill>
            <a:srgbClr val="000000"/>
          </a:solidFill>
          <a:prstDash val="solid"/>
        </a:ln>
      </c:spPr>
      <c:txPr>
        <a:bodyPr/>
        <a:lstStyle/>
        <a:p>
          <a:pPr>
            <a:defRPr sz="112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2023-04-21T10:32:00Z</dcterms:created>
  <dcterms:modified xsi:type="dcterms:W3CDTF">2023-04-21T11:05:00Z</dcterms:modified>
</cp:coreProperties>
</file>